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25" w:rsidRDefault="00A80225" w:rsidP="00A80225">
      <w:pPr>
        <w:pStyle w:val="NoSpacing"/>
        <w:jc w:val="center"/>
        <w:rPr>
          <w:b/>
          <w:color w:val="1F497D" w:themeColor="text2"/>
          <w:sz w:val="32"/>
          <w:szCs w:val="32"/>
        </w:rPr>
      </w:pPr>
    </w:p>
    <w:p w:rsidR="00A80225" w:rsidRDefault="00A80225" w:rsidP="00A80225">
      <w:pPr>
        <w:pStyle w:val="NoSpacing"/>
        <w:jc w:val="center"/>
        <w:rPr>
          <w:b/>
          <w:color w:val="1F497D" w:themeColor="text2"/>
          <w:sz w:val="32"/>
          <w:szCs w:val="32"/>
        </w:rPr>
      </w:pPr>
    </w:p>
    <w:p w:rsidR="0027674B" w:rsidRPr="004F43F3" w:rsidRDefault="0027674B" w:rsidP="00A80225">
      <w:pPr>
        <w:pStyle w:val="NoSpacing"/>
        <w:jc w:val="center"/>
        <w:rPr>
          <w:b/>
          <w:color w:val="1F497D" w:themeColor="text2"/>
          <w:sz w:val="32"/>
          <w:szCs w:val="32"/>
        </w:rPr>
      </w:pPr>
      <w:r w:rsidRPr="004F43F3">
        <w:rPr>
          <w:b/>
          <w:color w:val="1F497D" w:themeColor="text2"/>
          <w:sz w:val="32"/>
          <w:szCs w:val="32"/>
        </w:rPr>
        <w:t>Alcohol Management Plan for Large Events</w:t>
      </w:r>
    </w:p>
    <w:p w:rsidR="0027674B" w:rsidRDefault="0027674B" w:rsidP="00C626E8">
      <w:pPr>
        <w:pStyle w:val="NoSpacing"/>
      </w:pPr>
    </w:p>
    <w:p w:rsidR="005F52AC" w:rsidRDefault="005F52AC" w:rsidP="005F52AC">
      <w:pPr>
        <w:pStyle w:val="NoSpacing"/>
        <w:jc w:val="both"/>
        <w:rPr>
          <w:sz w:val="20"/>
          <w:szCs w:val="20"/>
        </w:rPr>
      </w:pPr>
    </w:p>
    <w:p w:rsidR="0027674B" w:rsidRPr="009C10F0" w:rsidRDefault="0027674B" w:rsidP="005F52AC">
      <w:pPr>
        <w:pStyle w:val="NoSpacing"/>
        <w:jc w:val="both"/>
        <w:rPr>
          <w:sz w:val="20"/>
          <w:szCs w:val="20"/>
        </w:rPr>
      </w:pPr>
      <w:r w:rsidRPr="009C10F0">
        <w:rPr>
          <w:sz w:val="20"/>
          <w:szCs w:val="20"/>
        </w:rPr>
        <w:t xml:space="preserve">If you are applying for a Special Licence </w:t>
      </w:r>
      <w:r w:rsidR="00790FA7">
        <w:rPr>
          <w:sz w:val="20"/>
          <w:szCs w:val="20"/>
        </w:rPr>
        <w:t xml:space="preserve">to sell alcohol at </w:t>
      </w:r>
      <w:r w:rsidRPr="009C10F0">
        <w:rPr>
          <w:sz w:val="20"/>
          <w:szCs w:val="20"/>
        </w:rPr>
        <w:t>an event where there is expected to be more than 400 people, you will need to submit an Alcohol Management Plan with your application.</w:t>
      </w:r>
    </w:p>
    <w:p w:rsidR="0027674B" w:rsidRPr="009C10F0" w:rsidRDefault="0027674B" w:rsidP="005F52AC">
      <w:pPr>
        <w:pStyle w:val="NoSpacing"/>
        <w:jc w:val="both"/>
        <w:rPr>
          <w:sz w:val="20"/>
          <w:szCs w:val="20"/>
        </w:rPr>
      </w:pPr>
    </w:p>
    <w:p w:rsidR="0027674B" w:rsidRPr="009C10F0" w:rsidRDefault="0027674B" w:rsidP="005F52A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C10F0">
        <w:rPr>
          <w:rFonts w:ascii="ARSMaquettePro-Light" w:hAnsi="ARSMaquettePro-Light" w:cs="ARSMaquettePro-Light"/>
          <w:color w:val="000000"/>
          <w:sz w:val="20"/>
          <w:szCs w:val="20"/>
        </w:rPr>
        <w:t>The plan should</w:t>
      </w:r>
      <w:r w:rsidR="001B48B0">
        <w:rPr>
          <w:rFonts w:ascii="ARSMaquettePro-Light" w:hAnsi="ARSMaquettePro-Light" w:cs="ARSMaquettePro-Light"/>
          <w:color w:val="000000"/>
          <w:sz w:val="20"/>
          <w:szCs w:val="20"/>
        </w:rPr>
        <w:t xml:space="preserve"> cover</w:t>
      </w:r>
      <w:r w:rsidRPr="009C10F0">
        <w:rPr>
          <w:rFonts w:ascii="ARSMaquettePro-Light" w:hAnsi="ARSMaquettePro-Light" w:cs="ARSMaquettePro-Light"/>
          <w:color w:val="000000"/>
          <w:sz w:val="20"/>
          <w:szCs w:val="20"/>
        </w:rPr>
        <w:t xml:space="preserve"> matters such as security, monitoring, interaction with local residents and public health concerns</w:t>
      </w:r>
      <w:r w:rsidR="00575384">
        <w:rPr>
          <w:rFonts w:ascii="ARSMaquettePro-Light" w:hAnsi="ARSMaquettePro-Light" w:cs="ARSMaquettePro-Light"/>
          <w:color w:val="000000"/>
          <w:sz w:val="20"/>
          <w:szCs w:val="20"/>
        </w:rPr>
        <w:t>, and</w:t>
      </w:r>
      <w:r w:rsidR="00575384" w:rsidRPr="00575384">
        <w:rPr>
          <w:rFonts w:ascii="ARSMaquettePro-Light" w:hAnsi="ARSMaquettePro-Light" w:cs="ARSMaquettePro-Light"/>
          <w:color w:val="000000"/>
          <w:sz w:val="20"/>
          <w:szCs w:val="20"/>
        </w:rPr>
        <w:t xml:space="preserve"> </w:t>
      </w:r>
      <w:r w:rsidR="00575384" w:rsidRPr="009C10F0">
        <w:rPr>
          <w:rFonts w:ascii="ARSMaquettePro-Light" w:hAnsi="ARSMaquettePro-Light" w:cs="ARSMaquettePro-Light"/>
          <w:color w:val="000000"/>
          <w:sz w:val="20"/>
          <w:szCs w:val="20"/>
        </w:rPr>
        <w:t>describe how you propose to deal with</w:t>
      </w:r>
      <w:r w:rsidR="00575384">
        <w:rPr>
          <w:rFonts w:ascii="ARSMaquettePro-Light" w:hAnsi="ARSMaquettePro-Light" w:cs="ARSMaquettePro-Light"/>
          <w:color w:val="000000"/>
          <w:sz w:val="20"/>
          <w:szCs w:val="20"/>
        </w:rPr>
        <w:t xml:space="preserve"> risks such as intoxication and minors.</w:t>
      </w:r>
    </w:p>
    <w:p w:rsidR="0027674B" w:rsidRPr="009C10F0" w:rsidRDefault="0027674B" w:rsidP="005F52AC">
      <w:pPr>
        <w:pStyle w:val="NoSpacing"/>
        <w:jc w:val="both"/>
        <w:rPr>
          <w:sz w:val="20"/>
          <w:szCs w:val="20"/>
        </w:rPr>
      </w:pPr>
    </w:p>
    <w:p w:rsidR="0027674B" w:rsidRPr="009C10F0" w:rsidRDefault="0027674B" w:rsidP="005F52AC">
      <w:pPr>
        <w:autoSpaceDE w:val="0"/>
        <w:autoSpaceDN w:val="0"/>
        <w:adjustRightInd w:val="0"/>
        <w:spacing w:after="0" w:line="240" w:lineRule="auto"/>
        <w:jc w:val="both"/>
        <w:rPr>
          <w:rFonts w:ascii="ARSMaquettePro-Light" w:hAnsi="ARSMaquettePro-Light" w:cs="ARSMaquettePro-Light"/>
          <w:color w:val="000000"/>
          <w:sz w:val="20"/>
          <w:szCs w:val="20"/>
        </w:rPr>
      </w:pPr>
      <w:r w:rsidRPr="009C10F0">
        <w:rPr>
          <w:rFonts w:ascii="ARSMaquettePro-Light" w:hAnsi="ARSMaquettePro-Light" w:cs="ARSMaquettePro-Light"/>
          <w:color w:val="000000"/>
          <w:sz w:val="20"/>
          <w:szCs w:val="20"/>
        </w:rPr>
        <w:t xml:space="preserve">The Health Promotion Agency’s </w:t>
      </w:r>
      <w:r w:rsidRPr="009C10F0">
        <w:rPr>
          <w:rFonts w:ascii="ARSMaquettePro-LightItalic" w:hAnsi="ARSMaquettePro-LightItalic" w:cs="ARSMaquettePro-LightItalic"/>
          <w:i/>
          <w:iCs/>
          <w:color w:val="000000"/>
          <w:sz w:val="20"/>
          <w:szCs w:val="20"/>
        </w:rPr>
        <w:t xml:space="preserve">Guidelines for Hosting Safe and Successful Wine Events </w:t>
      </w:r>
      <w:r w:rsidRPr="009C10F0">
        <w:rPr>
          <w:rFonts w:ascii="ARSMaquettePro-LightItalic" w:hAnsi="ARSMaquettePro-LightItalic" w:cs="ARSMaquettePro-LightItalic"/>
          <w:iCs/>
          <w:color w:val="000000"/>
          <w:sz w:val="20"/>
          <w:szCs w:val="20"/>
        </w:rPr>
        <w:t>p</w:t>
      </w:r>
      <w:r w:rsidRPr="009C10F0">
        <w:rPr>
          <w:rFonts w:ascii="ARSMaquettePro-Light" w:hAnsi="ARSMaquettePro-Light" w:cs="ARSMaquettePro-Light"/>
          <w:color w:val="000000"/>
          <w:sz w:val="20"/>
          <w:szCs w:val="20"/>
        </w:rPr>
        <w:t>rovides useful guidance on how to prepar</w:t>
      </w:r>
      <w:bookmarkStart w:id="0" w:name="_GoBack"/>
      <w:bookmarkEnd w:id="0"/>
      <w:r w:rsidRPr="009C10F0">
        <w:rPr>
          <w:rFonts w:ascii="ARSMaquettePro-Light" w:hAnsi="ARSMaquettePro-Light" w:cs="ARSMaquettePro-Light"/>
          <w:color w:val="000000"/>
          <w:sz w:val="20"/>
          <w:szCs w:val="20"/>
        </w:rPr>
        <w:t xml:space="preserve">e an alcohol management plan. Below is a </w:t>
      </w:r>
      <w:r w:rsidR="001B48B0">
        <w:rPr>
          <w:rFonts w:ascii="ARSMaquettePro-Light" w:hAnsi="ARSMaquettePro-Light" w:cs="ARSMaquettePro-Light"/>
          <w:color w:val="000000"/>
          <w:sz w:val="20"/>
          <w:szCs w:val="20"/>
        </w:rPr>
        <w:t xml:space="preserve">template </w:t>
      </w:r>
      <w:r w:rsidRPr="009C10F0">
        <w:rPr>
          <w:rFonts w:ascii="ARSMaquettePro-Light" w:hAnsi="ARSMaquettePro-Light" w:cs="ARSMaquettePro-Light"/>
          <w:color w:val="000000"/>
          <w:sz w:val="20"/>
          <w:szCs w:val="20"/>
        </w:rPr>
        <w:t>plan to assist organisers and licensees.</w:t>
      </w:r>
    </w:p>
    <w:p w:rsidR="00070E25" w:rsidRPr="009C10F0" w:rsidRDefault="00070E25" w:rsidP="005F52AC">
      <w:pPr>
        <w:autoSpaceDE w:val="0"/>
        <w:autoSpaceDN w:val="0"/>
        <w:adjustRightInd w:val="0"/>
        <w:spacing w:after="0" w:line="240" w:lineRule="auto"/>
        <w:jc w:val="both"/>
        <w:rPr>
          <w:rFonts w:ascii="ARSMaquettePro-Light" w:hAnsi="ARSMaquettePro-Light" w:cs="ARSMaquettePro-Light"/>
          <w:color w:val="000000"/>
          <w:sz w:val="20"/>
          <w:szCs w:val="20"/>
        </w:rPr>
      </w:pPr>
    </w:p>
    <w:p w:rsidR="0027674B" w:rsidRDefault="001B48B0" w:rsidP="005F52AC">
      <w:pPr>
        <w:autoSpaceDE w:val="0"/>
        <w:autoSpaceDN w:val="0"/>
        <w:adjustRightInd w:val="0"/>
        <w:spacing w:after="0" w:line="240" w:lineRule="auto"/>
        <w:jc w:val="both"/>
        <w:rPr>
          <w:rFonts w:ascii="ARSMaquettePro-Light" w:hAnsi="ARSMaquettePro-Light" w:cs="ARSMaquettePro-Light"/>
          <w:color w:val="000000"/>
          <w:sz w:val="20"/>
          <w:szCs w:val="20"/>
        </w:rPr>
      </w:pPr>
      <w:r>
        <w:rPr>
          <w:rFonts w:ascii="ARSMaquettePro-Light" w:hAnsi="ARSMaquettePro-Light" w:cs="ARSMaquettePro-Light"/>
          <w:color w:val="000000"/>
          <w:sz w:val="20"/>
          <w:szCs w:val="20"/>
        </w:rPr>
        <w:t>Provided on the last two pages is an example Alcohol Management Plan from the Guidelines</w:t>
      </w:r>
      <w:r w:rsidR="00575384" w:rsidRPr="00575384">
        <w:rPr>
          <w:rFonts w:ascii="ARSMaquettePro-Light" w:hAnsi="ARSMaquettePro-Light" w:cs="ARSMaquettePro-Light"/>
          <w:color w:val="000000"/>
          <w:sz w:val="20"/>
          <w:szCs w:val="20"/>
        </w:rPr>
        <w:t xml:space="preserve"> </w:t>
      </w:r>
      <w:r w:rsidR="00575384" w:rsidRPr="009C10F0">
        <w:rPr>
          <w:rFonts w:ascii="ARSMaquettePro-Light" w:hAnsi="ARSMaquettePro-Light" w:cs="ARSMaquettePro-Light"/>
          <w:color w:val="000000"/>
          <w:sz w:val="20"/>
          <w:szCs w:val="20"/>
        </w:rPr>
        <w:t>for a multi-stand large-scale wine event</w:t>
      </w:r>
      <w:r>
        <w:rPr>
          <w:rFonts w:ascii="ARSMaquettePro-Light" w:hAnsi="ARSMaquettePro-Light" w:cs="ARSMaquettePro-Light"/>
          <w:color w:val="000000"/>
          <w:sz w:val="20"/>
          <w:szCs w:val="20"/>
        </w:rPr>
        <w:t xml:space="preserve">. </w:t>
      </w:r>
      <w:r w:rsidR="0027674B" w:rsidRPr="009C10F0">
        <w:rPr>
          <w:rFonts w:ascii="ARSMaquettePro-Light" w:hAnsi="ARSMaquettePro-Light" w:cs="ARSMaquettePro-Light"/>
          <w:color w:val="000000"/>
          <w:sz w:val="20"/>
          <w:szCs w:val="20"/>
        </w:rPr>
        <w:t xml:space="preserve">Please note that it is only an example and </w:t>
      </w:r>
      <w:r w:rsidR="00070E25" w:rsidRPr="009C10F0">
        <w:rPr>
          <w:rFonts w:ascii="ARSMaquettePro-Light" w:hAnsi="ARSMaquettePro-Light" w:cs="ARSMaquettePro-Light"/>
          <w:color w:val="000000"/>
          <w:sz w:val="20"/>
          <w:szCs w:val="20"/>
        </w:rPr>
        <w:t>you</w:t>
      </w:r>
      <w:r w:rsidR="0027674B" w:rsidRPr="009C10F0">
        <w:rPr>
          <w:rFonts w:ascii="ARSMaquettePro-Light" w:hAnsi="ARSMaquettePro-Light" w:cs="ARSMaquettePro-Light"/>
          <w:color w:val="000000"/>
          <w:sz w:val="20"/>
          <w:szCs w:val="20"/>
        </w:rPr>
        <w:t xml:space="preserve"> will need to think carefully about the range of risks</w:t>
      </w:r>
      <w:r>
        <w:rPr>
          <w:rFonts w:ascii="ARSMaquettePro-Light" w:hAnsi="ARSMaquettePro-Light" w:cs="ARSMaquettePro-Light"/>
          <w:color w:val="000000"/>
          <w:sz w:val="20"/>
          <w:szCs w:val="20"/>
        </w:rPr>
        <w:t xml:space="preserve"> </w:t>
      </w:r>
      <w:r w:rsidR="00070E25" w:rsidRPr="009C10F0">
        <w:rPr>
          <w:rFonts w:ascii="ARSMaquettePro-Light" w:hAnsi="ARSMaquettePro-Light" w:cs="ARSMaquettePro-Light"/>
          <w:color w:val="000000"/>
          <w:sz w:val="20"/>
          <w:szCs w:val="20"/>
        </w:rPr>
        <w:t>specific to your</w:t>
      </w:r>
      <w:r w:rsidR="0027674B" w:rsidRPr="009C10F0">
        <w:rPr>
          <w:rFonts w:ascii="ARSMaquettePro-Light" w:hAnsi="ARSMaquettePro-Light" w:cs="ARSMaquettePro-Light"/>
          <w:color w:val="000000"/>
          <w:sz w:val="20"/>
          <w:szCs w:val="20"/>
        </w:rPr>
        <w:t xml:space="preserve"> event and tailor the response strategies, actions and measures to </w:t>
      </w:r>
      <w:r w:rsidR="00070E25" w:rsidRPr="009C10F0">
        <w:rPr>
          <w:rFonts w:ascii="ARSMaquettePro-Light" w:hAnsi="ARSMaquettePro-Light" w:cs="ARSMaquettePro-Light"/>
          <w:color w:val="000000"/>
          <w:sz w:val="20"/>
          <w:szCs w:val="20"/>
        </w:rPr>
        <w:t>you</w:t>
      </w:r>
      <w:r w:rsidR="0027674B" w:rsidRPr="009C10F0">
        <w:rPr>
          <w:rFonts w:ascii="ARSMaquettePro-Light" w:hAnsi="ARSMaquettePro-Light" w:cs="ARSMaquettePro-Light"/>
          <w:color w:val="000000"/>
          <w:sz w:val="20"/>
          <w:szCs w:val="20"/>
        </w:rPr>
        <w:t>r situation.</w:t>
      </w:r>
      <w:r w:rsidR="009C10F0" w:rsidRPr="009C10F0">
        <w:rPr>
          <w:rFonts w:ascii="ARSMaquettePro-Light" w:hAnsi="ARSMaquettePro-Light" w:cs="ARSMaquettePro-Light"/>
          <w:color w:val="000000"/>
          <w:sz w:val="20"/>
          <w:szCs w:val="20"/>
        </w:rPr>
        <w:t xml:space="preserve"> </w:t>
      </w:r>
    </w:p>
    <w:p w:rsidR="009C10F0" w:rsidRDefault="009C10F0" w:rsidP="005F52AC">
      <w:pPr>
        <w:autoSpaceDE w:val="0"/>
        <w:autoSpaceDN w:val="0"/>
        <w:adjustRightInd w:val="0"/>
        <w:spacing w:after="0" w:line="240" w:lineRule="auto"/>
        <w:jc w:val="both"/>
        <w:rPr>
          <w:rFonts w:ascii="ARSMaquettePro-Light" w:hAnsi="ARSMaquettePro-Light" w:cs="ARSMaquettePro-Light"/>
          <w:color w:val="000000"/>
          <w:sz w:val="20"/>
          <w:szCs w:val="20"/>
        </w:rPr>
      </w:pPr>
    </w:p>
    <w:p w:rsidR="00A80225" w:rsidRDefault="008D708E" w:rsidP="005F52AC">
      <w:pPr>
        <w:autoSpaceDE w:val="0"/>
        <w:autoSpaceDN w:val="0"/>
        <w:adjustRightInd w:val="0"/>
        <w:spacing w:after="0" w:line="240" w:lineRule="auto"/>
        <w:jc w:val="both"/>
        <w:rPr>
          <w:rFonts w:ascii="ARSMaquettePro-LightItalic" w:hAnsi="ARSMaquettePro-LightItalic" w:cs="ARSMaquettePro-LightItalic"/>
          <w:iCs/>
          <w:color w:val="000000"/>
          <w:sz w:val="20"/>
          <w:szCs w:val="20"/>
        </w:rPr>
      </w:pPr>
      <w:r w:rsidRPr="009C10F0">
        <w:rPr>
          <w:rFonts w:ascii="ARSMaquettePro-Light" w:hAnsi="ARSMaquettePro-Light" w:cs="ARSMaquettePro-Light"/>
          <w:color w:val="000000"/>
          <w:sz w:val="20"/>
          <w:szCs w:val="20"/>
        </w:rPr>
        <w:t xml:space="preserve">The Health Promotion Agency’s </w:t>
      </w:r>
      <w:r w:rsidRPr="009C10F0">
        <w:rPr>
          <w:rFonts w:ascii="ARSMaquettePro-LightItalic" w:hAnsi="ARSMaquettePro-LightItalic" w:cs="ARSMaquettePro-LightItalic"/>
          <w:i/>
          <w:iCs/>
          <w:color w:val="000000"/>
          <w:sz w:val="20"/>
          <w:szCs w:val="20"/>
        </w:rPr>
        <w:t>Guidelines for Hosting Safe and Successful</w:t>
      </w:r>
      <w:r w:rsidR="00575384">
        <w:rPr>
          <w:rFonts w:ascii="ARSMaquettePro-LightItalic" w:hAnsi="ARSMaquettePro-LightItalic" w:cs="ARSMaquettePro-LightItalic"/>
          <w:i/>
          <w:iCs/>
          <w:color w:val="000000"/>
          <w:sz w:val="20"/>
          <w:szCs w:val="20"/>
        </w:rPr>
        <w:t xml:space="preserve"> Large-Scale</w:t>
      </w:r>
      <w:r w:rsidRPr="009C10F0">
        <w:rPr>
          <w:rFonts w:ascii="ARSMaquettePro-LightItalic" w:hAnsi="ARSMaquettePro-LightItalic" w:cs="ARSMaquettePro-LightItalic"/>
          <w:i/>
          <w:iCs/>
          <w:color w:val="000000"/>
          <w:sz w:val="20"/>
          <w:szCs w:val="20"/>
        </w:rPr>
        <w:t xml:space="preserve"> Wine Events</w:t>
      </w:r>
      <w:r>
        <w:rPr>
          <w:rFonts w:ascii="ARSMaquettePro-LightItalic" w:hAnsi="ARSMaquettePro-LightItalic" w:cs="ARSMaquettePro-LightItalic"/>
          <w:i/>
          <w:iCs/>
          <w:color w:val="000000"/>
          <w:sz w:val="20"/>
          <w:szCs w:val="20"/>
        </w:rPr>
        <w:t xml:space="preserve"> </w:t>
      </w:r>
      <w:r>
        <w:rPr>
          <w:rFonts w:ascii="ARSMaquettePro-LightItalic" w:hAnsi="ARSMaquettePro-LightItalic" w:cs="ARSMaquettePro-LightItalic"/>
          <w:iCs/>
          <w:color w:val="000000"/>
          <w:sz w:val="20"/>
          <w:szCs w:val="20"/>
        </w:rPr>
        <w:t xml:space="preserve">can be viewed at </w:t>
      </w:r>
      <w:hyperlink r:id="rId6" w:history="1">
        <w:r w:rsidR="00A80225" w:rsidRPr="003C6E18">
          <w:rPr>
            <w:rStyle w:val="Hyperlink"/>
            <w:rFonts w:ascii="ARSMaquettePro-LightItalic" w:hAnsi="ARSMaquettePro-LightItalic" w:cs="ARSMaquettePro-LightItalic"/>
            <w:iCs/>
            <w:sz w:val="20"/>
            <w:szCs w:val="20"/>
          </w:rPr>
          <w:t>www.selwyn.govt.nz/alcohol</w:t>
        </w:r>
      </w:hyperlink>
    </w:p>
    <w:p w:rsidR="00A80225" w:rsidRDefault="00A80225" w:rsidP="005F52AC">
      <w:pPr>
        <w:autoSpaceDE w:val="0"/>
        <w:autoSpaceDN w:val="0"/>
        <w:adjustRightInd w:val="0"/>
        <w:spacing w:after="0" w:line="240" w:lineRule="auto"/>
        <w:jc w:val="both"/>
        <w:rPr>
          <w:rFonts w:ascii="ARSMaquettePro-LightItalic" w:hAnsi="ARSMaquettePro-LightItalic" w:cs="ARSMaquettePro-LightItalic"/>
          <w:iCs/>
          <w:color w:val="000000"/>
          <w:sz w:val="20"/>
          <w:szCs w:val="20"/>
        </w:rPr>
      </w:pPr>
    </w:p>
    <w:p w:rsidR="00EA2304" w:rsidRPr="008D708E" w:rsidRDefault="00575384" w:rsidP="005F52AC">
      <w:pPr>
        <w:autoSpaceDE w:val="0"/>
        <w:autoSpaceDN w:val="0"/>
        <w:adjustRightInd w:val="0"/>
        <w:spacing w:after="0" w:line="240" w:lineRule="auto"/>
        <w:jc w:val="both"/>
        <w:rPr>
          <w:rFonts w:ascii="ARSMaquettePro-Bold" w:hAnsi="ARSMaquettePro-Bold" w:cs="ARSMaquettePro-Bold"/>
          <w:b/>
          <w:bCs/>
          <w:color w:val="882B6C"/>
          <w:szCs w:val="24"/>
        </w:rPr>
      </w:pPr>
      <w:r>
        <w:rPr>
          <w:rFonts w:ascii="ARSMaquettePro-LightItalic" w:hAnsi="ARSMaquettePro-LightItalic" w:cs="ARSMaquettePro-LightItalic"/>
          <w:iCs/>
          <w:color w:val="000000"/>
          <w:sz w:val="20"/>
          <w:szCs w:val="20"/>
        </w:rPr>
        <w:t>.</w:t>
      </w:r>
    </w:p>
    <w:p w:rsidR="00A80225" w:rsidRDefault="00A80225" w:rsidP="00A80225">
      <w:pPr>
        <w:sectPr w:rsidR="00A80225" w:rsidSect="00A80225">
          <w:headerReference w:type="default" r:id="rId7"/>
          <w:headerReference w:type="first" r:id="rId8"/>
          <w:footerReference w:type="first" r:id="rId9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1B48B0" w:rsidRDefault="001B48B0" w:rsidP="00A80225">
      <w:r>
        <w:lastRenderedPageBreak/>
        <w:t>Alcohol Management Plan for ...............................................................EVENT on .....................................</w:t>
      </w:r>
    </w:p>
    <w:tbl>
      <w:tblPr>
        <w:tblW w:w="0" w:type="auto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5"/>
        <w:gridCol w:w="1037"/>
        <w:gridCol w:w="2552"/>
        <w:gridCol w:w="2268"/>
        <w:gridCol w:w="2693"/>
        <w:gridCol w:w="1843"/>
        <w:gridCol w:w="1710"/>
      </w:tblGrid>
      <w:tr w:rsidR="001B48B0" w:rsidRPr="00740B95" w:rsidTr="007364E3">
        <w:tc>
          <w:tcPr>
            <w:tcW w:w="2025" w:type="dxa"/>
            <w:shd w:val="clear" w:color="auto" w:fill="008000"/>
          </w:tcPr>
          <w:p w:rsidR="001B48B0" w:rsidRPr="00740B95" w:rsidRDefault="001B48B0" w:rsidP="001B48B0">
            <w:pPr>
              <w:pStyle w:val="BodyText"/>
              <w:spacing w:after="0" w:line="240" w:lineRule="auto"/>
              <w:rPr>
                <w:b/>
                <w:color w:val="FFFFFF"/>
                <w:lang w:val="en-US"/>
              </w:rPr>
            </w:pPr>
            <w:r w:rsidRPr="00740B95">
              <w:rPr>
                <w:b/>
                <w:color w:val="FFFFFF"/>
                <w:lang w:val="en-US"/>
              </w:rPr>
              <w:t>Risk</w:t>
            </w:r>
          </w:p>
        </w:tc>
        <w:tc>
          <w:tcPr>
            <w:tcW w:w="1037" w:type="dxa"/>
            <w:shd w:val="clear" w:color="auto" w:fill="008000"/>
          </w:tcPr>
          <w:p w:rsidR="001B48B0" w:rsidRPr="00740B95" w:rsidRDefault="001B48B0" w:rsidP="001B48B0">
            <w:pPr>
              <w:pStyle w:val="BodyText"/>
              <w:spacing w:after="0" w:line="240" w:lineRule="auto"/>
              <w:rPr>
                <w:b/>
                <w:color w:val="FFFFFF"/>
                <w:lang w:val="en-US"/>
              </w:rPr>
            </w:pPr>
            <w:r w:rsidRPr="00740B95">
              <w:rPr>
                <w:b/>
                <w:color w:val="FFFFFF"/>
                <w:lang w:val="en-US"/>
              </w:rPr>
              <w:t>Level of Risk</w:t>
            </w:r>
          </w:p>
        </w:tc>
        <w:tc>
          <w:tcPr>
            <w:tcW w:w="2552" w:type="dxa"/>
            <w:shd w:val="clear" w:color="auto" w:fill="008000"/>
          </w:tcPr>
          <w:p w:rsidR="001B48B0" w:rsidRPr="00740B95" w:rsidRDefault="001B48B0" w:rsidP="001B48B0">
            <w:pPr>
              <w:pStyle w:val="BodyText"/>
              <w:spacing w:after="0" w:line="240" w:lineRule="auto"/>
              <w:rPr>
                <w:b/>
                <w:color w:val="FFFFFF"/>
                <w:lang w:val="en-US"/>
              </w:rPr>
            </w:pPr>
            <w:r w:rsidRPr="00740B95">
              <w:rPr>
                <w:b/>
                <w:color w:val="FFFFFF"/>
                <w:lang w:val="en-US"/>
              </w:rPr>
              <w:t>Risk Components</w:t>
            </w:r>
            <w:r w:rsidR="007364E3">
              <w:rPr>
                <w:b/>
                <w:color w:val="FFFFFF"/>
                <w:lang w:val="en-US"/>
              </w:rPr>
              <w:t xml:space="preserve"> (How might the risk occur)</w:t>
            </w:r>
          </w:p>
        </w:tc>
        <w:tc>
          <w:tcPr>
            <w:tcW w:w="2268" w:type="dxa"/>
            <w:shd w:val="clear" w:color="auto" w:fill="008000"/>
          </w:tcPr>
          <w:p w:rsidR="001B48B0" w:rsidRPr="00740B95" w:rsidRDefault="001B48B0" w:rsidP="001B48B0">
            <w:pPr>
              <w:pStyle w:val="BodyText"/>
              <w:spacing w:after="0" w:line="240" w:lineRule="auto"/>
              <w:rPr>
                <w:b/>
                <w:color w:val="FFFFFF"/>
                <w:lang w:val="en-US"/>
              </w:rPr>
            </w:pPr>
            <w:r w:rsidRPr="00740B95">
              <w:rPr>
                <w:b/>
                <w:color w:val="FFFFFF"/>
                <w:lang w:val="en-US"/>
              </w:rPr>
              <w:t>Strategies</w:t>
            </w:r>
            <w:r w:rsidR="007364E3">
              <w:rPr>
                <w:b/>
                <w:color w:val="FFFFFF"/>
                <w:lang w:val="en-US"/>
              </w:rPr>
              <w:t xml:space="preserve"> to Address the Risk</w:t>
            </w:r>
          </w:p>
        </w:tc>
        <w:tc>
          <w:tcPr>
            <w:tcW w:w="2693" w:type="dxa"/>
            <w:shd w:val="clear" w:color="auto" w:fill="008000"/>
          </w:tcPr>
          <w:p w:rsidR="001B48B0" w:rsidRPr="00740B95" w:rsidRDefault="001B48B0" w:rsidP="001B48B0">
            <w:pPr>
              <w:pStyle w:val="BodyText"/>
              <w:spacing w:after="0" w:line="240" w:lineRule="auto"/>
              <w:rPr>
                <w:b/>
                <w:color w:val="FFFFFF"/>
                <w:lang w:val="en-US"/>
              </w:rPr>
            </w:pPr>
            <w:r w:rsidRPr="00740B95">
              <w:rPr>
                <w:b/>
                <w:color w:val="FFFFFF"/>
                <w:lang w:val="en-US"/>
              </w:rPr>
              <w:t>Actions</w:t>
            </w:r>
            <w:r w:rsidR="007364E3">
              <w:rPr>
                <w:b/>
                <w:color w:val="FFFFFF"/>
                <w:lang w:val="en-US"/>
              </w:rPr>
              <w:t xml:space="preserve"> to be taken</w:t>
            </w:r>
          </w:p>
        </w:tc>
        <w:tc>
          <w:tcPr>
            <w:tcW w:w="1843" w:type="dxa"/>
            <w:shd w:val="clear" w:color="auto" w:fill="008000"/>
          </w:tcPr>
          <w:p w:rsidR="001B48B0" w:rsidRPr="00740B95" w:rsidRDefault="001B48B0" w:rsidP="001B48B0">
            <w:pPr>
              <w:pStyle w:val="BodyText"/>
              <w:spacing w:after="0" w:line="240" w:lineRule="auto"/>
              <w:rPr>
                <w:b/>
                <w:color w:val="FFFFFF"/>
                <w:lang w:val="en-US"/>
              </w:rPr>
            </w:pPr>
            <w:r w:rsidRPr="00740B95">
              <w:rPr>
                <w:b/>
                <w:color w:val="FFFFFF"/>
                <w:lang w:val="en-US"/>
              </w:rPr>
              <w:t>Responsibility</w:t>
            </w:r>
            <w:r w:rsidR="007364E3">
              <w:rPr>
                <w:b/>
                <w:color w:val="FFFFFF"/>
                <w:lang w:val="en-US"/>
              </w:rPr>
              <w:t xml:space="preserve"> for Actions</w:t>
            </w:r>
          </w:p>
        </w:tc>
        <w:tc>
          <w:tcPr>
            <w:tcW w:w="1710" w:type="dxa"/>
            <w:shd w:val="clear" w:color="auto" w:fill="008000"/>
          </w:tcPr>
          <w:p w:rsidR="001B48B0" w:rsidRPr="00740B95" w:rsidRDefault="007364E3" w:rsidP="001B48B0">
            <w:pPr>
              <w:pStyle w:val="BodyText"/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How to </w:t>
            </w:r>
            <w:r w:rsidR="001B48B0" w:rsidRPr="00740B95">
              <w:rPr>
                <w:b/>
                <w:color w:val="FFFFFF"/>
                <w:lang w:val="en-US"/>
              </w:rPr>
              <w:t>Measure</w:t>
            </w:r>
            <w:r>
              <w:rPr>
                <w:b/>
                <w:color w:val="FFFFFF"/>
                <w:lang w:val="en-US"/>
              </w:rPr>
              <w:t xml:space="preserve"> Success</w:t>
            </w:r>
          </w:p>
        </w:tc>
      </w:tr>
      <w:tr w:rsidR="001B48B0" w:rsidRPr="00C77D61" w:rsidTr="007364E3">
        <w:trPr>
          <w:trHeight w:val="295"/>
        </w:trPr>
        <w:tc>
          <w:tcPr>
            <w:tcW w:w="2025" w:type="dxa"/>
            <w:shd w:val="clear" w:color="auto" w:fill="DBE5F1"/>
          </w:tcPr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  <w:r w:rsidRPr="00AE7751">
              <w:rPr>
                <w:b/>
                <w:lang w:val="en-US"/>
              </w:rPr>
              <w:t>Intoxication</w:t>
            </w:r>
          </w:p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  <w:p w:rsidR="001B48B0" w:rsidRPr="00AE7751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037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</w:tcPr>
          <w:p w:rsidR="001B48B0" w:rsidRPr="00C77D61" w:rsidRDefault="001B48B0" w:rsidP="001B48B0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710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</w:tr>
      <w:tr w:rsidR="001B48B0" w:rsidRPr="00C77D61" w:rsidTr="007364E3">
        <w:tc>
          <w:tcPr>
            <w:tcW w:w="2025" w:type="dxa"/>
            <w:shd w:val="clear" w:color="auto" w:fill="DBE5F1"/>
          </w:tcPr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  <w:r w:rsidRPr="00AE7751">
              <w:rPr>
                <w:b/>
                <w:lang w:val="en-US"/>
              </w:rPr>
              <w:t>Underage drinking</w:t>
            </w:r>
          </w:p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  <w:p w:rsidR="001B48B0" w:rsidRPr="00AE7751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037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710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</w:tr>
      <w:tr w:rsidR="001B48B0" w:rsidRPr="00C77D61" w:rsidTr="007364E3">
        <w:tc>
          <w:tcPr>
            <w:tcW w:w="2025" w:type="dxa"/>
            <w:shd w:val="clear" w:color="auto" w:fill="DBE5F1"/>
          </w:tcPr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Injury f</w:t>
            </w:r>
            <w:r w:rsidRPr="00AE7751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om</w:t>
            </w:r>
            <w:r w:rsidRPr="00AE7751">
              <w:rPr>
                <w:b/>
                <w:lang w:val="en-US"/>
              </w:rPr>
              <w:t xml:space="preserve"> drink containers</w:t>
            </w:r>
          </w:p>
          <w:p w:rsidR="001B48B0" w:rsidRPr="00AE7751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037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710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</w:tr>
      <w:tr w:rsidR="001B48B0" w:rsidRPr="00C77D61" w:rsidTr="007364E3">
        <w:tc>
          <w:tcPr>
            <w:tcW w:w="2025" w:type="dxa"/>
            <w:shd w:val="clear" w:color="auto" w:fill="DBE5F1"/>
          </w:tcPr>
          <w:p w:rsidR="001B48B0" w:rsidRDefault="001B48B0" w:rsidP="001B48B0">
            <w:pPr>
              <w:pStyle w:val="BodyText"/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Drinking &amp; Driving</w:t>
            </w:r>
          </w:p>
          <w:p w:rsidR="001B48B0" w:rsidRPr="00AE7751" w:rsidRDefault="001B48B0" w:rsidP="001B48B0">
            <w:pPr>
              <w:pStyle w:val="BodyText"/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037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710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</w:tr>
      <w:tr w:rsidR="001B48B0" w:rsidRPr="00C77D61" w:rsidTr="007364E3">
        <w:tc>
          <w:tcPr>
            <w:tcW w:w="2025" w:type="dxa"/>
            <w:shd w:val="clear" w:color="auto" w:fill="DBE5F1"/>
          </w:tcPr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Use of casual bar staff or volunteers</w:t>
            </w:r>
          </w:p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  <w:p w:rsidR="001B48B0" w:rsidRPr="00AE7751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037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710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</w:tr>
      <w:tr w:rsidR="001B48B0" w:rsidRPr="00C77D61" w:rsidTr="007364E3">
        <w:tc>
          <w:tcPr>
            <w:tcW w:w="2025" w:type="dxa"/>
            <w:shd w:val="clear" w:color="auto" w:fill="DBE5F1"/>
          </w:tcPr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  <w:p w:rsidR="001B48B0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  <w:p w:rsidR="001B48B0" w:rsidRPr="00AE7751" w:rsidRDefault="001B48B0" w:rsidP="001B48B0">
            <w:pPr>
              <w:pStyle w:val="BodyText"/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037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269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  <w:tc>
          <w:tcPr>
            <w:tcW w:w="1710" w:type="dxa"/>
          </w:tcPr>
          <w:p w:rsidR="001B48B0" w:rsidRPr="00C77D61" w:rsidRDefault="001B48B0" w:rsidP="001B48B0">
            <w:pPr>
              <w:pStyle w:val="BodyText"/>
              <w:spacing w:after="0" w:line="240" w:lineRule="auto"/>
              <w:rPr>
                <w:lang w:val="en-US"/>
              </w:rPr>
            </w:pPr>
          </w:p>
        </w:tc>
      </w:tr>
    </w:tbl>
    <w:p w:rsidR="001B48B0" w:rsidRDefault="001B48B0" w:rsidP="001B48B0">
      <w:pPr>
        <w:autoSpaceDE w:val="0"/>
        <w:autoSpaceDN w:val="0"/>
        <w:adjustRightInd w:val="0"/>
        <w:spacing w:after="0" w:line="240" w:lineRule="auto"/>
        <w:rPr>
          <w:rFonts w:ascii="ARSMaquettePro-Light" w:hAnsi="ARSMaquettePro-Light" w:cs="ARSMaquettePro-Light"/>
          <w:color w:val="000000"/>
          <w:sz w:val="20"/>
          <w:szCs w:val="20"/>
        </w:rPr>
      </w:pPr>
    </w:p>
    <w:p w:rsidR="001B48B0" w:rsidRPr="009C10F0" w:rsidRDefault="001B48B0" w:rsidP="001B48B0">
      <w:pPr>
        <w:autoSpaceDE w:val="0"/>
        <w:autoSpaceDN w:val="0"/>
        <w:adjustRightInd w:val="0"/>
        <w:spacing w:after="0" w:line="240" w:lineRule="auto"/>
        <w:rPr>
          <w:rFonts w:ascii="ARSMaquettePro-Light" w:hAnsi="ARSMaquettePro-Light" w:cs="ARSMaquettePro-Light"/>
          <w:color w:val="000000"/>
          <w:sz w:val="20"/>
          <w:szCs w:val="20"/>
        </w:rPr>
      </w:pPr>
      <w:r>
        <w:rPr>
          <w:rFonts w:ascii="ARSMaquettePro-Light" w:hAnsi="ARSMaquettePro-Light" w:cs="ARSMaquettePro-Light"/>
          <w:color w:val="000000"/>
          <w:sz w:val="20"/>
          <w:szCs w:val="20"/>
        </w:rPr>
        <w:t>Prepared by ..........................................................................(name) ..............................................................................(position)</w:t>
      </w:r>
    </w:p>
    <w:p w:rsidR="001B48B0" w:rsidRDefault="001B48B0">
      <w:pPr>
        <w:rPr>
          <w:rFonts w:ascii="ARSMaquettePro-Bold" w:hAnsi="ARSMaquettePro-Bold" w:cs="ARSMaquettePro-Bold"/>
          <w:b/>
          <w:bCs/>
          <w:color w:val="882B6C"/>
          <w:szCs w:val="24"/>
        </w:rPr>
      </w:pPr>
      <w:r>
        <w:rPr>
          <w:rFonts w:ascii="ARSMaquettePro-Bold" w:hAnsi="ARSMaquettePro-Bold" w:cs="ARSMaquettePro-Bold"/>
          <w:b/>
          <w:bCs/>
          <w:color w:val="882B6C"/>
          <w:szCs w:val="24"/>
        </w:rPr>
        <w:br w:type="page"/>
      </w:r>
    </w:p>
    <w:p w:rsidR="00EA2304" w:rsidRDefault="00EA2304" w:rsidP="009C10F0">
      <w:pPr>
        <w:autoSpaceDE w:val="0"/>
        <w:autoSpaceDN w:val="0"/>
        <w:adjustRightInd w:val="0"/>
        <w:spacing w:after="0" w:line="240" w:lineRule="auto"/>
        <w:rPr>
          <w:rFonts w:ascii="ARSMaquettePro-Bold" w:hAnsi="ARSMaquettePro-Bold" w:cs="ARSMaquettePro-Bold"/>
          <w:b/>
          <w:bCs/>
          <w:color w:val="882B6C"/>
          <w:szCs w:val="24"/>
        </w:rPr>
      </w:pPr>
      <w:r>
        <w:rPr>
          <w:rFonts w:ascii="ARSMaquettePro-Bold" w:hAnsi="ARSMaquettePro-Bold" w:cs="ARSMaquettePro-Bold"/>
          <w:b/>
          <w:bCs/>
          <w:color w:val="882B6C"/>
          <w:szCs w:val="24"/>
        </w:rPr>
        <w:lastRenderedPageBreak/>
        <w:t>Sample alcohol management plan for a multi-stand large-scale wine event</w:t>
      </w:r>
    </w:p>
    <w:p w:rsidR="00EA2304" w:rsidRDefault="00EA2304" w:rsidP="009C10F0">
      <w:pPr>
        <w:autoSpaceDE w:val="0"/>
        <w:autoSpaceDN w:val="0"/>
        <w:adjustRightInd w:val="0"/>
        <w:spacing w:after="0" w:line="240" w:lineRule="auto"/>
        <w:rPr>
          <w:rFonts w:ascii="ARSMaquettePro-Bold" w:hAnsi="ARSMaquettePro-Bold" w:cs="ARSMaquettePro-Bold"/>
          <w:b/>
          <w:bCs/>
          <w:color w:val="882B6C"/>
          <w:szCs w:val="24"/>
        </w:rPr>
      </w:pPr>
    </w:p>
    <w:p w:rsidR="00EA2304" w:rsidRDefault="00034163" w:rsidP="009C10F0">
      <w:pPr>
        <w:autoSpaceDE w:val="0"/>
        <w:autoSpaceDN w:val="0"/>
        <w:adjustRightInd w:val="0"/>
        <w:spacing w:after="0" w:line="240" w:lineRule="auto"/>
        <w:rPr>
          <w:rFonts w:ascii="ARSMaquettePro-Light" w:hAnsi="ARSMaquettePro-Light" w:cs="ARSMaquettePro-Light"/>
          <w:color w:val="000000"/>
          <w:sz w:val="20"/>
          <w:szCs w:val="20"/>
        </w:rPr>
      </w:pPr>
      <w:r>
        <w:rPr>
          <w:rFonts w:ascii="ARSMaquettePro-Light" w:hAnsi="ARSMaquettePro-Light" w:cs="ARSMaquettePro-Light"/>
          <w:noProof/>
          <w:color w:val="000000"/>
          <w:sz w:val="20"/>
          <w:szCs w:val="20"/>
          <w:lang w:eastAsia="en-NZ"/>
        </w:rPr>
        <w:drawing>
          <wp:inline distT="0" distB="0" distL="0" distR="0">
            <wp:extent cx="8863330" cy="5187315"/>
            <wp:effectExtent l="19050" t="0" r="0" b="0"/>
            <wp:docPr id="1" name="Picture 0" descr="Example PLan snip 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PLan snip pg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163" w:rsidRDefault="00034163">
      <w:pPr>
        <w:rPr>
          <w:rFonts w:ascii="ARSMaquettePro-Light" w:hAnsi="ARSMaquettePro-Light" w:cs="ARSMaquettePro-Light"/>
          <w:color w:val="000000"/>
          <w:sz w:val="20"/>
          <w:szCs w:val="20"/>
        </w:rPr>
      </w:pPr>
      <w:r>
        <w:rPr>
          <w:rFonts w:ascii="ARSMaquettePro-Light" w:hAnsi="ARSMaquettePro-Light" w:cs="ARSMaquettePro-Light"/>
          <w:color w:val="000000"/>
          <w:sz w:val="20"/>
          <w:szCs w:val="20"/>
        </w:rPr>
        <w:br w:type="page"/>
      </w:r>
    </w:p>
    <w:p w:rsidR="00034163" w:rsidRDefault="00034163" w:rsidP="009C10F0">
      <w:pPr>
        <w:autoSpaceDE w:val="0"/>
        <w:autoSpaceDN w:val="0"/>
        <w:adjustRightInd w:val="0"/>
        <w:spacing w:after="0" w:line="240" w:lineRule="auto"/>
        <w:rPr>
          <w:rFonts w:ascii="ARSMaquettePro-Light" w:hAnsi="ARSMaquettePro-Light" w:cs="ARSMaquettePro-Light"/>
          <w:color w:val="000000"/>
          <w:sz w:val="20"/>
          <w:szCs w:val="20"/>
        </w:rPr>
      </w:pPr>
      <w:r>
        <w:rPr>
          <w:rFonts w:ascii="ARSMaquettePro-Light" w:hAnsi="ARSMaquettePro-Light" w:cs="ARSMaquettePro-Light"/>
          <w:noProof/>
          <w:color w:val="000000"/>
          <w:sz w:val="20"/>
          <w:szCs w:val="20"/>
          <w:lang w:eastAsia="en-NZ"/>
        </w:rPr>
        <w:lastRenderedPageBreak/>
        <w:drawing>
          <wp:inline distT="0" distB="0" distL="0" distR="0">
            <wp:extent cx="8863330" cy="5113655"/>
            <wp:effectExtent l="19050" t="0" r="0" b="0"/>
            <wp:docPr id="2" name="Picture 1" descr="Example PLan snip p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PLan snip pg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163" w:rsidRDefault="00034163">
      <w:pPr>
        <w:rPr>
          <w:rFonts w:ascii="ARSMaquettePro-Light" w:hAnsi="ARSMaquettePro-Light" w:cs="ARSMaquettePro-Light"/>
          <w:color w:val="000000"/>
          <w:sz w:val="20"/>
          <w:szCs w:val="20"/>
        </w:rPr>
      </w:pPr>
    </w:p>
    <w:sectPr w:rsidR="00034163" w:rsidSect="00A80225">
      <w:headerReference w:type="first" r:id="rId12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61" w:rsidRDefault="00A81361" w:rsidP="004F43F3">
      <w:pPr>
        <w:spacing w:after="0" w:line="240" w:lineRule="auto"/>
      </w:pPr>
      <w:r>
        <w:separator/>
      </w:r>
    </w:p>
  </w:endnote>
  <w:endnote w:type="continuationSeparator" w:id="0">
    <w:p w:rsidR="00A81361" w:rsidRDefault="00A81361" w:rsidP="004F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SMaquette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MaquettePro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Maquette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225" w:rsidRDefault="00A80225">
    <w:pPr>
      <w:pStyle w:val="Footer"/>
      <w:rPr>
        <w:rFonts w:cs="Arial"/>
        <w:color w:val="1F497D" w:themeColor="text2"/>
        <w:sz w:val="18"/>
      </w:rPr>
    </w:pPr>
  </w:p>
  <w:p w:rsidR="00A80225" w:rsidRPr="00A80225" w:rsidRDefault="00A80225">
    <w:pPr>
      <w:pStyle w:val="Footer"/>
      <w:rPr>
        <w:rFonts w:cs="Arial"/>
        <w:color w:val="1F497D" w:themeColor="text2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61" w:rsidRDefault="00A81361" w:rsidP="004F43F3">
      <w:pPr>
        <w:spacing w:after="0" w:line="240" w:lineRule="auto"/>
      </w:pPr>
      <w:r>
        <w:separator/>
      </w:r>
    </w:p>
  </w:footnote>
  <w:footnote w:type="continuationSeparator" w:id="0">
    <w:p w:rsidR="00A81361" w:rsidRDefault="00A81361" w:rsidP="004F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8B0" w:rsidRDefault="001B48B0">
    <w:pPr>
      <w:pStyle w:val="Header"/>
    </w:pPr>
  </w:p>
  <w:p w:rsidR="001B48B0" w:rsidRDefault="001B48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225" w:rsidRDefault="00A80225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-256540</wp:posOffset>
              </wp:positionV>
              <wp:extent cx="2286000" cy="800100"/>
              <wp:effectExtent l="0" t="3175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225" w:rsidRDefault="00A80225">
                          <w:r>
                            <w:rPr>
                              <w:noProof/>
                              <w:lang w:eastAsia="en-NZ"/>
                            </w:rPr>
                            <w:drawing>
                              <wp:inline distT="0" distB="0" distL="0" distR="0">
                                <wp:extent cx="1969135" cy="699135"/>
                                <wp:effectExtent l="0" t="0" r="0" b="0"/>
                                <wp:docPr id="5" name="Picture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69135" cy="699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.75pt;margin-top:-20.2pt;width:18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9IuAIAALo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" filled="f" stroked="f">
              <v:textbox>
                <w:txbxContent>
                  <w:p w:rsidR="00A80225" w:rsidRDefault="00A80225">
                    <w:r>
                      <w:rPr>
                        <w:noProof/>
                        <w:lang w:eastAsia="en-NZ"/>
                      </w:rPr>
                      <w:drawing>
                        <wp:inline distT="0" distB="0" distL="0" distR="0">
                          <wp:extent cx="1969135" cy="699135"/>
                          <wp:effectExtent l="0" t="0" r="0" b="0"/>
                          <wp:docPr id="5" name="Picture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9135" cy="699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5181600</wp:posOffset>
              </wp:positionH>
              <wp:positionV relativeFrom="paragraph">
                <wp:posOffset>248285</wp:posOffset>
              </wp:positionV>
              <wp:extent cx="1778000" cy="279400"/>
              <wp:effectExtent l="0" t="3175" r="3175" b="317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225" w:rsidRPr="00A80225" w:rsidRDefault="00A80225">
                          <w:pPr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</w:rPr>
                          </w:pPr>
                          <w:r w:rsidRPr="00A80225"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</w:rPr>
                            <w:t>www.selwyn.govt.nz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08pt;margin-top:19.55pt;width:140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iIuAIAAME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" filled="f" stroked="f">
              <v:textbox>
                <w:txbxContent>
                  <w:p w:rsidR="00A80225" w:rsidRPr="00A80225" w:rsidRDefault="00A80225">
                    <w:pPr>
                      <w:rPr>
                        <w:rFonts w:cs="Arial"/>
                        <w:b/>
                        <w:color w:val="FFFFFF" w:themeColor="background1"/>
                        <w:sz w:val="18"/>
                      </w:rPr>
                    </w:pPr>
                    <w:r w:rsidRPr="00A80225">
                      <w:rPr>
                        <w:rFonts w:cs="Arial"/>
                        <w:b/>
                        <w:color w:val="FFFFFF" w:themeColor="background1"/>
                        <w:sz w:val="18"/>
                      </w:rPr>
                      <w:t>www.selwyn.govt.nz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-989965</wp:posOffset>
              </wp:positionH>
              <wp:positionV relativeFrom="paragraph">
                <wp:posOffset>-450215</wp:posOffset>
              </wp:positionV>
              <wp:extent cx="7619365" cy="1114425"/>
              <wp:effectExtent l="635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9365" cy="1114425"/>
                      </a:xfrm>
                      <a:prstGeom prst="rect">
                        <a:avLst/>
                      </a:prstGeom>
                      <a:solidFill>
                        <a:srgbClr val="0139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E9B22" id="Rectangle 1" o:spid="_x0000_s1026" style="position:absolute;margin-left:-77.95pt;margin-top:-35.45pt;width:599.9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" fillcolor="#01395a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225" w:rsidRDefault="00A80225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5181600</wp:posOffset>
              </wp:positionH>
              <wp:positionV relativeFrom="paragraph">
                <wp:posOffset>248285</wp:posOffset>
              </wp:positionV>
              <wp:extent cx="1778000" cy="279400"/>
              <wp:effectExtent l="0" t="3175" r="3175" b="317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225" w:rsidRPr="00A80225" w:rsidRDefault="00A80225">
                          <w:pPr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</w:rPr>
                          </w:pPr>
                          <w:r w:rsidRPr="00A80225"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</w:rPr>
                            <w:t>www.selwyn.govt.nz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08pt;margin-top:19.55pt;width:140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JU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" filled="f" stroked="f">
              <v:textbox>
                <w:txbxContent>
                  <w:p w:rsidR="00A80225" w:rsidRPr="00A80225" w:rsidRDefault="00A80225">
                    <w:pPr>
                      <w:rPr>
                        <w:rFonts w:cs="Arial"/>
                        <w:b/>
                        <w:color w:val="FFFFFF" w:themeColor="background1"/>
                        <w:sz w:val="18"/>
                      </w:rPr>
                    </w:pPr>
                    <w:r w:rsidRPr="00A80225">
                      <w:rPr>
                        <w:rFonts w:cs="Arial"/>
                        <w:b/>
                        <w:color w:val="FFFFFF" w:themeColor="background1"/>
                        <w:sz w:val="18"/>
                      </w:rPr>
                      <w:t>www.selwyn.govt.nz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4B"/>
    <w:rsid w:val="00034163"/>
    <w:rsid w:val="00044FA7"/>
    <w:rsid w:val="00051746"/>
    <w:rsid w:val="00070E25"/>
    <w:rsid w:val="000E21AC"/>
    <w:rsid w:val="000E797C"/>
    <w:rsid w:val="00117452"/>
    <w:rsid w:val="00184B8E"/>
    <w:rsid w:val="001B48B0"/>
    <w:rsid w:val="00217F05"/>
    <w:rsid w:val="00257559"/>
    <w:rsid w:val="0027674B"/>
    <w:rsid w:val="00290656"/>
    <w:rsid w:val="00297313"/>
    <w:rsid w:val="002B71B5"/>
    <w:rsid w:val="002C41AB"/>
    <w:rsid w:val="002D168C"/>
    <w:rsid w:val="002E1B49"/>
    <w:rsid w:val="003269D2"/>
    <w:rsid w:val="00333BEB"/>
    <w:rsid w:val="00336AE4"/>
    <w:rsid w:val="00345BC6"/>
    <w:rsid w:val="0036231E"/>
    <w:rsid w:val="00364B86"/>
    <w:rsid w:val="00370D84"/>
    <w:rsid w:val="003B67D6"/>
    <w:rsid w:val="003E3F4F"/>
    <w:rsid w:val="00466A35"/>
    <w:rsid w:val="004F43F3"/>
    <w:rsid w:val="004F6914"/>
    <w:rsid w:val="00575384"/>
    <w:rsid w:val="005B752A"/>
    <w:rsid w:val="005F52AC"/>
    <w:rsid w:val="006268F5"/>
    <w:rsid w:val="00637662"/>
    <w:rsid w:val="007364E3"/>
    <w:rsid w:val="00790FA7"/>
    <w:rsid w:val="007A6C30"/>
    <w:rsid w:val="007E18D1"/>
    <w:rsid w:val="00844BD6"/>
    <w:rsid w:val="008D708E"/>
    <w:rsid w:val="00971ECA"/>
    <w:rsid w:val="009C10F0"/>
    <w:rsid w:val="00A078AC"/>
    <w:rsid w:val="00A80225"/>
    <w:rsid w:val="00A81361"/>
    <w:rsid w:val="00AE336A"/>
    <w:rsid w:val="00B52684"/>
    <w:rsid w:val="00C310DD"/>
    <w:rsid w:val="00C35AAF"/>
    <w:rsid w:val="00C626E8"/>
    <w:rsid w:val="00CC2656"/>
    <w:rsid w:val="00D70ADF"/>
    <w:rsid w:val="00D90F65"/>
    <w:rsid w:val="00DB7C4C"/>
    <w:rsid w:val="00E739E8"/>
    <w:rsid w:val="00EA2304"/>
    <w:rsid w:val="00F85F84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C0CF4A-E14D-43F6-8E5D-00253275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F05"/>
  </w:style>
  <w:style w:type="paragraph" w:styleId="Heading1">
    <w:name w:val="heading 1"/>
    <w:basedOn w:val="Normal"/>
    <w:next w:val="Normal"/>
    <w:link w:val="Heading1Char"/>
    <w:qFormat/>
    <w:rsid w:val="00333BE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BE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BEB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B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7F05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7F0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E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3BEB"/>
    <w:rPr>
      <w:rFonts w:ascii="Arial" w:eastAsiaTheme="majorEastAsia" w:hAnsi="Arial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33BE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17F05"/>
    <w:rPr>
      <w:rFonts w:ascii="Arial" w:eastAsiaTheme="majorEastAsia" w:hAnsi="Arial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17F05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C310D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33BEB"/>
    <w:rPr>
      <w:rFonts w:asciiTheme="majorHAnsi" w:eastAsiaTheme="majorEastAsia" w:hAnsiTheme="majorHAnsi" w:cstheme="majorBid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8D70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034163"/>
    <w:pPr>
      <w:spacing w:after="240" w:line="320" w:lineRule="atLeast"/>
    </w:pPr>
    <w:rPr>
      <w:rFonts w:eastAsia="Times New Roman" w:cs="Times New Roman"/>
      <w:sz w:val="20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034163"/>
    <w:rPr>
      <w:rFonts w:eastAsia="Times New Roman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4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3F3"/>
  </w:style>
  <w:style w:type="paragraph" w:styleId="Footer">
    <w:name w:val="footer"/>
    <w:basedOn w:val="Normal"/>
    <w:link w:val="FooterChar"/>
    <w:uiPriority w:val="99"/>
    <w:unhideWhenUsed/>
    <w:rsid w:val="004F4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wyn.govt.nz/alcohol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5E0E79FB.dotm</Template>
  <TotalTime>0</TotalTime>
  <Pages>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 District Council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TDC</dc:creator>
  <cp:lastModifiedBy>Deb Webb</cp:lastModifiedBy>
  <cp:revision>2</cp:revision>
  <dcterms:created xsi:type="dcterms:W3CDTF">2015-06-29T23:59:00Z</dcterms:created>
  <dcterms:modified xsi:type="dcterms:W3CDTF">2015-06-29T23:59:00Z</dcterms:modified>
</cp:coreProperties>
</file>